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81"/>
        <w:ind w:left="-567"/>
        <w:jc w:val="center"/>
        <w:rPr>
          <w:b/>
          <w:sz w:val="36"/>
          <w:szCs w:val="36"/>
        </w:rPr>
        <w:outlineLvl w:val="1"/>
      </w:pPr>
      <w:r>
        <w:rPr>
          <w:b/>
          <w:sz w:val="36"/>
          <w:szCs w:val="36"/>
        </w:rPr>
        <w:t xml:space="preserve">ТЕРРИТОРИАЛЬНАЯ ИЗБИРАТЕЛЬНАЯ КОМИССИЯ</w:t>
      </w:r>
      <w:r>
        <w:rPr>
          <w:b/>
          <w:sz w:val="36"/>
          <w:szCs w:val="36"/>
        </w:rPr>
      </w:r>
    </w:p>
    <w:p>
      <w:pPr>
        <w:pStyle w:val="681"/>
        <w:ind w:left="0" w:right="0" w:firstLine="0"/>
        <w:jc w:val="center"/>
        <w:rPr>
          <w:b/>
          <w:sz w:val="36"/>
          <w:szCs w:val="36"/>
          <w:lang w:val="en-US"/>
        </w:rPr>
        <w:outlineLvl w:val="1"/>
      </w:pPr>
      <w:r>
        <w:rPr>
          <w:b/>
          <w:sz w:val="36"/>
          <w:szCs w:val="36"/>
        </w:rPr>
        <w:t xml:space="preserve">МУНИЦИПАЛЬНОГО ОКРУГА ВОРОТЫНСКИЙ НИЖЕГОРОДСКОЙ ОБЛАСТИ</w:t>
      </w:r>
      <w:r>
        <w:rPr>
          <w:b/>
          <w:sz w:val="36"/>
          <w:szCs w:val="36"/>
          <w:lang w:val="en-US"/>
        </w:rPr>
      </w:r>
      <w:r>
        <w:rPr>
          <w:b/>
          <w:sz w:val="36"/>
          <w:szCs w:val="36"/>
          <w:lang w:val="en-US"/>
        </w:rPr>
      </w:r>
    </w:p>
    <w:p>
      <w:pPr>
        <w:pStyle w:val="681"/>
        <w:jc w:val="center"/>
        <w:rPr>
          <w:b/>
          <w:lang w:val="en-US"/>
        </w:rPr>
        <w:outlineLvl w:val="1"/>
      </w:pPr>
      <w:r>
        <w:rPr>
          <w:b/>
          <w:lang w:val="en-US"/>
        </w:rPr>
      </w:r>
      <w:r>
        <w:rPr>
          <w:b/>
          <w:lang w:val="en-US"/>
        </w:rPr>
      </w:r>
    </w:p>
    <w:p>
      <w:pPr>
        <w:pStyle w:val="681"/>
        <w:jc w:val="center"/>
        <w:rPr>
          <w:b/>
          <w:lang w:val="en-US"/>
        </w:rPr>
        <w:outlineLvl w:val="1"/>
      </w:pPr>
      <w:r>
        <w:rPr>
          <w:b/>
          <w:lang w:val="en-US"/>
        </w:rPr>
      </w:r>
      <w:r>
        <w:rPr>
          <w:b/>
          <w:lang w:val="en-US"/>
        </w:rPr>
      </w:r>
    </w:p>
    <w:p>
      <w:pPr>
        <w:pStyle w:val="681"/>
        <w:jc w:val="center"/>
        <w:rPr>
          <w:sz w:val="40"/>
          <w:szCs w:val="40"/>
        </w:rPr>
        <w:outlineLvl w:val="1"/>
      </w:pPr>
      <w:r>
        <w:rPr>
          <w:sz w:val="40"/>
          <w:szCs w:val="40"/>
        </w:rPr>
        <w:t xml:space="preserve">П О С Т А Н О В Л Е Н И Е</w:t>
      </w:r>
      <w:r>
        <w:rPr>
          <w:sz w:val="40"/>
          <w:szCs w:val="40"/>
        </w:rPr>
      </w:r>
    </w:p>
    <w:p>
      <w:pPr>
        <w:pStyle w:val="681"/>
        <w:jc w:val="center"/>
        <w:outlineLvl w:val="1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1771" cy="19202"/>
                <wp:effectExtent l="0" t="0" r="0" b="0"/>
                <wp:docPr id="1" name="_x0000_s10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941771" cy="19202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shape 0" o:spid="_x0000_s0" o:spt="1" type="#_x0000_t1" style="width:467.86pt;height:1.51pt;mso-wrap-distance-left:0.00pt;mso-wrap-distance-top:0.00pt;mso-wrap-distance-right:0.00pt;mso-wrap-distance-bottom:0.00pt;visibility:visible;" fillcolor="#A0A0A0" stroked="f"/>
            </w:pict>
          </mc:Fallback>
        </mc:AlternateContent>
      </w:r>
      <w:r/>
    </w:p>
    <w:p>
      <w:pPr>
        <w:pStyle w:val="681"/>
        <w:jc w:val="both"/>
        <w:rPr>
          <w:sz w:val="28"/>
          <w:szCs w:val="28"/>
          <w:u w:val="single"/>
          <w:lang w:val="en-US"/>
        </w:rPr>
        <w:outlineLvl w:val="1"/>
      </w:pPr>
      <w:r>
        <w:rPr>
          <w:sz w:val="28"/>
          <w:szCs w:val="28"/>
          <w:u w:val="single"/>
        </w:rPr>
        <w:t xml:space="preserve">   “</w:t>
      </w:r>
      <w:r>
        <w:rPr>
          <w:sz w:val="28"/>
          <w:szCs w:val="28"/>
          <w:u w:val="single"/>
        </w:rPr>
        <w:t xml:space="preserve">05</w:t>
      </w:r>
      <w:r>
        <w:rPr>
          <w:sz w:val="28"/>
          <w:szCs w:val="28"/>
          <w:u w:val="single"/>
        </w:rPr>
        <w:t xml:space="preserve">” </w:t>
      </w:r>
      <w:r>
        <w:rPr>
          <w:sz w:val="28"/>
          <w:szCs w:val="28"/>
          <w:u w:val="single"/>
        </w:rPr>
        <w:t xml:space="preserve">августа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2026г</w:t>
      </w:r>
      <w:r>
        <w:rPr>
          <w:sz w:val="28"/>
          <w:szCs w:val="28"/>
        </w:rPr>
        <w:t xml:space="preserve">                                                                                   №   </w:t>
      </w:r>
      <w:r>
        <w:rPr>
          <w:sz w:val="28"/>
          <w:szCs w:val="28"/>
          <w:u w:val="single"/>
        </w:rPr>
        <w:t xml:space="preserve">17</w:t>
      </w:r>
      <w:r>
        <w:rPr>
          <w:sz w:val="28"/>
          <w:szCs w:val="28"/>
          <w:u w:val="single"/>
        </w:rPr>
        <w:t xml:space="preserve">/7</w:t>
      </w:r>
      <w:r>
        <w:rPr>
          <w:sz w:val="28"/>
          <w:szCs w:val="28"/>
          <w:u w:val="single"/>
        </w:rPr>
        <w:t xml:space="preserve">7</w:t>
      </w:r>
      <w:r>
        <w:rPr>
          <w:sz w:val="28"/>
          <w:szCs w:val="28"/>
          <w:u w:val="single"/>
        </w:rPr>
        <w:t xml:space="preserve">-6</w:t>
      </w:r>
      <w:r>
        <w:rPr>
          <w:sz w:val="28"/>
          <w:szCs w:val="28"/>
          <w:u w:val="single"/>
          <w:lang w:val="en-US"/>
        </w:rPr>
      </w:r>
      <w:r>
        <w:rPr>
          <w:sz w:val="28"/>
          <w:szCs w:val="28"/>
          <w:u w:val="single"/>
          <w:lang w:val="en-US"/>
        </w:rPr>
      </w:r>
    </w:p>
    <w:p>
      <w:pPr>
        <w:pStyle w:val="681"/>
        <w:jc w:val="center"/>
        <w:rPr>
          <w:sz w:val="28"/>
          <w:szCs w:val="28"/>
        </w:rPr>
        <w:outlineLvl w:val="1"/>
      </w:pPr>
      <w:r>
        <w:rPr>
          <w:sz w:val="28"/>
          <w:szCs w:val="28"/>
        </w:rPr>
        <w:t xml:space="preserve">р.п.Воротынец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1"/>
        <w:jc w:val="center"/>
        <w:rPr>
          <w:sz w:val="28"/>
          <w:szCs w:val="28"/>
        </w:rPr>
        <w:outlineLvl w:val="1"/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распределении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печатной площади, предоставляемых на безвозмездной основе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МАУ «Р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едакци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ей газеты «Воротынская газета»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 дополнительных </w:t>
      </w:r>
      <w:r>
        <w:rPr>
          <w:rFonts w:ascii="Times New Roman" w:hAnsi="Times New Roman" w:cs="Times New Roman"/>
          <w:sz w:val="28"/>
          <w:szCs w:val="28"/>
        </w:rPr>
        <w:t xml:space="preserve">выборах </w:t>
      </w:r>
      <w:r>
        <w:rPr>
          <w:rFonts w:ascii="Times New Roman" w:hAnsi="Times New Roman" w:cs="Times New Roman"/>
          <w:bCs/>
          <w:sz w:val="28"/>
          <w:szCs w:val="28"/>
        </w:rPr>
        <w:t xml:space="preserve">депутатов Совета депутатов муниципальн</w:t>
      </w:r>
      <w:r>
        <w:rPr>
          <w:rFonts w:ascii="Times New Roman" w:hAnsi="Times New Roman" w:cs="Times New Roman"/>
          <w:sz w:val="28"/>
          <w:szCs w:val="28"/>
        </w:rPr>
        <w:t xml:space="preserve">ого</w:t>
      </w:r>
      <w:r>
        <w:rPr>
          <w:rFonts w:ascii="Times New Roman" w:hAnsi="Times New Roman" w:cs="Times New Roman"/>
          <w:sz w:val="28"/>
          <w:szCs w:val="28"/>
        </w:rPr>
        <w:t xml:space="preserve"> округа Воротынский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Нижегородской области второго </w:t>
      </w:r>
      <w:r>
        <w:rPr>
          <w:rFonts w:ascii="Times New Roman" w:hAnsi="Times New Roman" w:cs="Times New Roman"/>
          <w:sz w:val="28"/>
          <w:szCs w:val="28"/>
        </w:rPr>
        <w:t xml:space="preserve">созыва по одномандатным избирательным округам №9 и №12 </w:t>
      </w:r>
      <w:r>
        <w:rPr>
          <w:rFonts w:ascii="Times New Roman" w:hAnsi="Times New Roman" w:cs="Times New Roman"/>
          <w:sz w:val="28"/>
          <w:szCs w:val="28"/>
        </w:rPr>
        <w:t xml:space="preserve"> назначенных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на 20</w:t>
      </w:r>
      <w:r>
        <w:rPr>
          <w:rFonts w:ascii="Times New Roman" w:hAnsi="Times New Roman" w:cs="Times New Roman"/>
          <w:sz w:val="28"/>
          <w:szCs w:val="28"/>
        </w:rPr>
        <w:t xml:space="preserve"> сентября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 xml:space="preserve">26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5"/>
        <w:jc w:val="center"/>
        <w:spacing w:after="0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</w:r>
      <w:r>
        <w:rPr>
          <w:rFonts w:cs="Arial"/>
          <w:b/>
          <w:bCs/>
          <w:sz w:val="28"/>
          <w:szCs w:val="28"/>
        </w:rPr>
      </w:r>
    </w:p>
    <w:p>
      <w:pPr>
        <w:pStyle w:val="675"/>
        <w:jc w:val="center"/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675"/>
        <w:ind w:firstLine="709"/>
        <w:jc w:val="both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целях распределения между зарегистрированными кандидатами </w:t>
      </w:r>
      <w:r>
        <w:rPr>
          <w:rFonts w:ascii="Times New Roman" w:hAnsi="Times New Roman"/>
          <w:sz w:val="28"/>
          <w:szCs w:val="28"/>
        </w:rPr>
        <w:t xml:space="preserve"> бесплатной печатной площади в периодических печатных изданиях при проведении дополнительных выборов депутатов </w:t>
      </w:r>
      <w:r>
        <w:rPr>
          <w:rFonts w:ascii="Times New Roman" w:hAnsi="Times New Roman"/>
          <w:bCs/>
          <w:sz w:val="28"/>
          <w:szCs w:val="28"/>
        </w:rPr>
        <w:t xml:space="preserve">Совета депутатов муниципальн</w:t>
      </w:r>
      <w:r>
        <w:rPr>
          <w:rFonts w:ascii="Times New Roman" w:hAnsi="Times New Roman"/>
          <w:sz w:val="28"/>
          <w:szCs w:val="28"/>
        </w:rPr>
        <w:t xml:space="preserve">ого</w:t>
      </w:r>
      <w:r>
        <w:rPr>
          <w:rFonts w:ascii="Times New Roman" w:hAnsi="Times New Roman"/>
          <w:sz w:val="28"/>
          <w:szCs w:val="28"/>
        </w:rPr>
        <w:t xml:space="preserve"> округа Воротынский</w:t>
      </w:r>
      <w:r>
        <w:rPr>
          <w:rFonts w:ascii="Times New Roman" w:hAnsi="Times New Roman"/>
          <w:color w:val="000000"/>
          <w:sz w:val="28"/>
          <w:szCs w:val="28"/>
        </w:rPr>
        <w:t xml:space="preserve"> Нижегородской области второго </w:t>
      </w:r>
      <w:r>
        <w:rPr>
          <w:rFonts w:ascii="Times New Roman" w:hAnsi="Times New Roman"/>
          <w:sz w:val="28"/>
          <w:szCs w:val="28"/>
        </w:rPr>
        <w:t xml:space="preserve">созыва по одномандатным избирательным округам № 9 и № 12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назначенных на 20</w:t>
      </w:r>
      <w:r>
        <w:rPr>
          <w:rFonts w:ascii="Times New Roman" w:hAnsi="Times New Roman"/>
          <w:sz w:val="28"/>
          <w:szCs w:val="28"/>
        </w:rPr>
        <w:t xml:space="preserve"> сентября 2026 </w:t>
      </w:r>
      <w:r>
        <w:rPr>
          <w:rFonts w:ascii="Times New Roman" w:hAnsi="Times New Roman"/>
          <w:sz w:val="28"/>
          <w:szCs w:val="28"/>
        </w:rPr>
        <w:t xml:space="preserve">года, в соответствии с пунктом 4 статьи 15, частью 3, статьи 47, части 4 статьи 48 Закона Нижегородской области от 06 сентября 2007 года № 108-З "</w:t>
      </w:r>
      <w:r>
        <w:rPr>
          <w:rFonts w:ascii="Times New Roman" w:hAnsi="Times New Roman"/>
          <w:sz w:val="28"/>
          <w:szCs w:val="28"/>
        </w:rPr>
        <w:t xml:space="preserve"> О выборах депутатов представительных органов муниципальных образований в Нижегородской области</w:t>
      </w:r>
      <w:r>
        <w:rPr>
          <w:rFonts w:ascii="Times New Roman" w:hAnsi="Times New Roman"/>
          <w:sz w:val="28"/>
          <w:szCs w:val="28"/>
        </w:rPr>
        <w:t xml:space="preserve">"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соответствии с постановлением избирательной комиссии Нижегородской области от </w:t>
      </w:r>
      <w:r>
        <w:rPr>
          <w:rFonts w:ascii="Times New Roman" w:hAnsi="Times New Roman"/>
          <w:sz w:val="28"/>
          <w:szCs w:val="28"/>
        </w:rPr>
        <w:t xml:space="preserve">04</w:t>
      </w:r>
      <w:r>
        <w:rPr>
          <w:rFonts w:ascii="Times New Roman" w:hAnsi="Times New Roman"/>
          <w:sz w:val="28"/>
          <w:szCs w:val="28"/>
        </w:rPr>
        <w:t xml:space="preserve"> ию</w:t>
      </w:r>
      <w:r>
        <w:rPr>
          <w:rFonts w:ascii="Times New Roman" w:hAnsi="Times New Roman"/>
          <w:sz w:val="28"/>
          <w:szCs w:val="28"/>
        </w:rPr>
        <w:t xml:space="preserve">л</w:t>
      </w:r>
      <w:r>
        <w:rPr>
          <w:rFonts w:ascii="Times New Roman" w:hAnsi="Times New Roman"/>
          <w:sz w:val="28"/>
          <w:szCs w:val="28"/>
        </w:rPr>
        <w:t xml:space="preserve">я 202</w:t>
      </w:r>
      <w:r>
        <w:rPr>
          <w:rFonts w:ascii="Times New Roman" w:hAnsi="Times New Roman"/>
          <w:sz w:val="28"/>
          <w:szCs w:val="28"/>
        </w:rPr>
        <w:t xml:space="preserve">4</w:t>
      </w:r>
      <w:r>
        <w:rPr>
          <w:rFonts w:ascii="Times New Roman" w:hAnsi="Times New Roman"/>
          <w:sz w:val="28"/>
          <w:szCs w:val="28"/>
        </w:rPr>
        <w:t xml:space="preserve"> года № </w:t>
      </w:r>
      <w:r>
        <w:rPr>
          <w:rFonts w:ascii="Times New Roman" w:hAnsi="Times New Roman"/>
          <w:sz w:val="28"/>
          <w:szCs w:val="28"/>
        </w:rPr>
        <w:t xml:space="preserve">94</w:t>
      </w:r>
      <w:r>
        <w:rPr>
          <w:rFonts w:ascii="Times New Roman" w:hAnsi="Times New Roman"/>
          <w:sz w:val="28"/>
          <w:szCs w:val="28"/>
        </w:rPr>
        <w:t xml:space="preserve">/</w:t>
      </w:r>
      <w:r>
        <w:rPr>
          <w:rFonts w:ascii="Times New Roman" w:hAnsi="Times New Roman"/>
          <w:sz w:val="28"/>
          <w:szCs w:val="28"/>
        </w:rPr>
        <w:t xml:space="preserve">1211</w:t>
      </w:r>
      <w:r>
        <w:rPr>
          <w:rFonts w:ascii="Times New Roman" w:hAnsi="Times New Roman"/>
          <w:sz w:val="28"/>
          <w:szCs w:val="28"/>
        </w:rPr>
        <w:t xml:space="preserve">-7 "Об утверждении </w:t>
      </w:r>
      <w:r>
        <w:rPr>
          <w:rFonts w:ascii="Times New Roman" w:hAnsi="Times New Roman"/>
          <w:sz w:val="28"/>
          <w:szCs w:val="28"/>
        </w:rPr>
        <w:t xml:space="preserve">Р</w:t>
      </w:r>
      <w:r>
        <w:rPr>
          <w:rFonts w:ascii="Times New Roman" w:hAnsi="Times New Roman"/>
          <w:sz w:val="28"/>
          <w:szCs w:val="28"/>
        </w:rPr>
        <w:t xml:space="preserve">азъяснений об участии средств массовой информации в предвыборной агитации при проведении выборов депутатов представительных органов муниципальных образований в Нижегородской области",  а также постановлениями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территориальной </w:t>
      </w:r>
      <w:r>
        <w:rPr>
          <w:rFonts w:ascii="Times New Roman" w:hAnsi="Times New Roman"/>
          <w:color w:val="000000"/>
          <w:sz w:val="28"/>
          <w:szCs w:val="28"/>
        </w:rPr>
        <w:t xml:space="preserve">избирательной комисси</w:t>
      </w:r>
      <w:r>
        <w:rPr>
          <w:rFonts w:ascii="Times New Roman" w:hAnsi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/>
          <w:color w:val="000000"/>
          <w:sz w:val="28"/>
          <w:szCs w:val="28"/>
        </w:rPr>
        <w:t xml:space="preserve"> муниципальн</w:t>
      </w:r>
      <w:r>
        <w:rPr>
          <w:rFonts w:ascii="Times New Roman" w:hAnsi="Times New Roman"/>
          <w:sz w:val="28"/>
          <w:szCs w:val="28"/>
        </w:rPr>
        <w:t xml:space="preserve">ого округа Воротынский</w:t>
      </w:r>
      <w:r>
        <w:rPr>
          <w:rFonts w:ascii="Times New Roman" w:hAnsi="Times New Roman"/>
          <w:color w:val="000000"/>
          <w:sz w:val="28"/>
          <w:szCs w:val="28"/>
        </w:rPr>
        <w:t xml:space="preserve"> Нижегородской области</w:t>
      </w:r>
      <w:r>
        <w:rPr>
          <w:rFonts w:ascii="Times New Roman" w:hAnsi="Times New Roman"/>
          <w:color w:val="000000"/>
          <w:sz w:val="28"/>
          <w:szCs w:val="28"/>
        </w:rPr>
        <w:t xml:space="preserve"> от 25 июня 2026 года № 4/10-6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«О календарном плане мероприятий по подготовке и проведению </w:t>
      </w:r>
      <w:r>
        <w:rPr>
          <w:rFonts w:ascii="Times New Roman" w:hAnsi="Times New Roman"/>
          <w:sz w:val="28"/>
          <w:szCs w:val="28"/>
        </w:rPr>
        <w:t xml:space="preserve">дополнительных выборов депутатов </w:t>
      </w:r>
      <w:r>
        <w:rPr>
          <w:rFonts w:ascii="Times New Roman" w:hAnsi="Times New Roman"/>
          <w:bCs/>
          <w:sz w:val="28"/>
          <w:szCs w:val="28"/>
        </w:rPr>
        <w:t xml:space="preserve">Совета депутатов муниципальн</w:t>
      </w:r>
      <w:r>
        <w:rPr>
          <w:rFonts w:ascii="Times New Roman" w:hAnsi="Times New Roman"/>
          <w:sz w:val="28"/>
          <w:szCs w:val="28"/>
        </w:rPr>
        <w:t xml:space="preserve">ого</w:t>
      </w:r>
      <w:r>
        <w:rPr>
          <w:rFonts w:ascii="Times New Roman" w:hAnsi="Times New Roman"/>
          <w:sz w:val="28"/>
          <w:szCs w:val="28"/>
        </w:rPr>
        <w:t xml:space="preserve"> округа Воротынский</w:t>
      </w:r>
      <w:r>
        <w:rPr>
          <w:rFonts w:ascii="Times New Roman" w:hAnsi="Times New Roman"/>
          <w:color w:val="000000"/>
          <w:sz w:val="28"/>
          <w:szCs w:val="28"/>
        </w:rPr>
        <w:t xml:space="preserve"> Нижегородской области второго </w:t>
      </w:r>
      <w:r>
        <w:rPr>
          <w:rFonts w:ascii="Times New Roman" w:hAnsi="Times New Roman"/>
          <w:sz w:val="28"/>
          <w:szCs w:val="28"/>
        </w:rPr>
        <w:t xml:space="preserve">созыва по одномандатным избирательным округам № 9 и № 12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назначенных на 20</w:t>
      </w:r>
      <w:r>
        <w:rPr>
          <w:rFonts w:ascii="Times New Roman" w:hAnsi="Times New Roman"/>
          <w:sz w:val="28"/>
          <w:szCs w:val="28"/>
        </w:rPr>
        <w:t xml:space="preserve"> сентября 2026 </w:t>
      </w:r>
      <w:r>
        <w:rPr>
          <w:rFonts w:ascii="Times New Roman" w:hAnsi="Times New Roman"/>
          <w:sz w:val="28"/>
          <w:szCs w:val="28"/>
        </w:rPr>
        <w:t xml:space="preserve">года</w:t>
      </w:r>
      <w:r/>
      <w:r>
        <w:rPr>
          <w:rFonts w:ascii="Times New Roman" w:hAnsi="Times New Roman"/>
          <w:sz w:val="28"/>
          <w:szCs w:val="28"/>
        </w:rPr>
        <w:t xml:space="preserve">»</w:t>
      </w:r>
      <w:r>
        <w:rPr>
          <w:rFonts w:ascii="Times New Roman" w:hAnsi="Times New Roman"/>
          <w:sz w:val="28"/>
          <w:szCs w:val="28"/>
        </w:rPr>
        <w:t xml:space="preserve">, от 27 июля 2026 года № </w:t>
      </w:r>
      <w:r>
        <w:rPr>
          <w:rFonts w:ascii="Times New Roman" w:hAnsi="Times New Roman"/>
          <w:sz w:val="28"/>
          <w:szCs w:val="28"/>
        </w:rPr>
        <w:t xml:space="preserve">14/50-6 «О перечне редакций муниципальных периодических печатных изданий, которые вправе предоставлять зарегистрированным кандидатам на </w:t>
      </w:r>
      <w:r>
        <w:rPr>
          <w:rFonts w:ascii="Times New Roman" w:hAnsi="Times New Roman"/>
          <w:sz w:val="28"/>
          <w:szCs w:val="28"/>
        </w:rPr>
        <w:t xml:space="preserve">дополнительных выборах депутатов </w:t>
      </w:r>
      <w:r>
        <w:rPr>
          <w:rFonts w:ascii="Times New Roman" w:hAnsi="Times New Roman"/>
          <w:bCs/>
          <w:sz w:val="28"/>
          <w:szCs w:val="28"/>
        </w:rPr>
        <w:t xml:space="preserve">Совета депутатов муниципальн</w:t>
      </w:r>
      <w:r>
        <w:rPr>
          <w:rFonts w:ascii="Times New Roman" w:hAnsi="Times New Roman"/>
          <w:sz w:val="28"/>
          <w:szCs w:val="28"/>
        </w:rPr>
        <w:t xml:space="preserve">ого</w:t>
      </w:r>
      <w:r>
        <w:rPr>
          <w:rFonts w:ascii="Times New Roman" w:hAnsi="Times New Roman"/>
          <w:sz w:val="28"/>
          <w:szCs w:val="28"/>
        </w:rPr>
        <w:t xml:space="preserve"> округа Воротынский</w:t>
      </w:r>
      <w:r>
        <w:rPr>
          <w:rFonts w:ascii="Times New Roman" w:hAnsi="Times New Roman"/>
          <w:color w:val="000000"/>
          <w:sz w:val="28"/>
          <w:szCs w:val="28"/>
        </w:rPr>
        <w:t xml:space="preserve"> Нижегородской области второго </w:t>
      </w:r>
      <w:r>
        <w:rPr>
          <w:rFonts w:ascii="Times New Roman" w:hAnsi="Times New Roman"/>
          <w:sz w:val="28"/>
          <w:szCs w:val="28"/>
        </w:rPr>
        <w:t xml:space="preserve">созыва по одномандатным избирательным округам № 9 и № 12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назначенных на 20</w:t>
      </w:r>
      <w:r>
        <w:rPr>
          <w:rFonts w:ascii="Times New Roman" w:hAnsi="Times New Roman"/>
          <w:sz w:val="28"/>
          <w:szCs w:val="28"/>
        </w:rPr>
        <w:t xml:space="preserve"> сентября 2026 </w:t>
      </w:r>
      <w:r>
        <w:rPr>
          <w:rFonts w:ascii="Times New Roman" w:hAnsi="Times New Roman"/>
          <w:sz w:val="28"/>
          <w:szCs w:val="28"/>
        </w:rPr>
        <w:t xml:space="preserve">года</w:t>
      </w:r>
      <w:r/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sz w:val="28"/>
          <w:szCs w:val="28"/>
        </w:rPr>
        <w:t xml:space="preserve"> печатную площадь для проведения предвыборной агитации, оказывать услуги по размещению агитационных материалов», </w:t>
      </w:r>
      <w:r>
        <w:rPr>
          <w:rFonts w:ascii="Times New Roman" w:hAnsi="Times New Roman"/>
          <w:sz w:val="28"/>
          <w:szCs w:val="28"/>
        </w:rPr>
        <w:t xml:space="preserve">территориальная</w:t>
      </w:r>
      <w:r>
        <w:rPr>
          <w:rFonts w:ascii="Times New Roman" w:hAnsi="Times New Roman"/>
          <w:color w:val="000000"/>
          <w:sz w:val="28"/>
          <w:szCs w:val="28"/>
        </w:rPr>
        <w:t xml:space="preserve"> избирательная комисси</w:t>
      </w:r>
      <w:r>
        <w:rPr>
          <w:rFonts w:ascii="Times New Roman" w:hAnsi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/>
          <w:color w:val="000000"/>
          <w:sz w:val="28"/>
          <w:szCs w:val="28"/>
        </w:rPr>
        <w:t xml:space="preserve"> муниципальн</w:t>
      </w:r>
      <w:r>
        <w:rPr>
          <w:rFonts w:ascii="Times New Roman" w:hAnsi="Times New Roman"/>
          <w:sz w:val="28"/>
          <w:szCs w:val="28"/>
        </w:rPr>
        <w:t xml:space="preserve">ого округа Воротынский</w:t>
      </w:r>
      <w:r>
        <w:rPr>
          <w:rFonts w:ascii="Times New Roman" w:hAnsi="Times New Roman"/>
          <w:color w:val="000000"/>
          <w:sz w:val="28"/>
          <w:szCs w:val="28"/>
        </w:rPr>
        <w:t xml:space="preserve"> Нижегородской области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ПОСТАНОВЛЯЕТ: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675"/>
        <w:ind w:firstLine="709"/>
        <w:jc w:val="both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681"/>
        <w:numPr>
          <w:ilvl w:val="0"/>
          <w:numId w:val="18"/>
        </w:numPr>
        <w:ind w:left="0" w:firstLine="284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Провести распределение печатной площади в рамках избирательной кампании по до</w:t>
      </w:r>
      <w:r>
        <w:rPr>
          <w:rFonts w:ascii="Times New Roman" w:hAnsi="Times New Roman"/>
          <w:sz w:val="28"/>
          <w:szCs w:val="28"/>
        </w:rPr>
        <w:t xml:space="preserve">полнительным выборам депутатов </w:t>
      </w:r>
      <w:r>
        <w:rPr>
          <w:rFonts w:ascii="Times New Roman" w:hAnsi="Times New Roman"/>
          <w:bCs/>
          <w:sz w:val="28"/>
          <w:szCs w:val="28"/>
        </w:rPr>
        <w:t xml:space="preserve">Совета депутатов муниципальн</w:t>
      </w:r>
      <w:r>
        <w:rPr>
          <w:rFonts w:ascii="Times New Roman" w:hAnsi="Times New Roman"/>
          <w:sz w:val="28"/>
          <w:szCs w:val="28"/>
        </w:rPr>
        <w:t xml:space="preserve">ого</w:t>
      </w:r>
      <w:r>
        <w:rPr>
          <w:rFonts w:ascii="Times New Roman" w:hAnsi="Times New Roman"/>
          <w:sz w:val="28"/>
          <w:szCs w:val="28"/>
        </w:rPr>
        <w:t xml:space="preserve"> округа Воротынский</w:t>
      </w:r>
      <w:r>
        <w:rPr>
          <w:rFonts w:ascii="Times New Roman" w:hAnsi="Times New Roman"/>
          <w:color w:val="000000"/>
          <w:sz w:val="28"/>
          <w:szCs w:val="28"/>
        </w:rPr>
        <w:t xml:space="preserve"> Нижегородской области второго </w:t>
      </w:r>
      <w:r>
        <w:rPr>
          <w:rFonts w:ascii="Times New Roman" w:hAnsi="Times New Roman"/>
          <w:sz w:val="28"/>
          <w:szCs w:val="28"/>
        </w:rPr>
        <w:t xml:space="preserve">созыва по одномандатным избирательным округам № 9 и № 12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назначенных на 20</w:t>
      </w:r>
      <w:r>
        <w:rPr>
          <w:rFonts w:ascii="Times New Roman" w:hAnsi="Times New Roman"/>
          <w:sz w:val="28"/>
          <w:szCs w:val="28"/>
        </w:rPr>
        <w:t xml:space="preserve"> сентября 2026 </w:t>
      </w:r>
      <w:r>
        <w:rPr>
          <w:rFonts w:ascii="Times New Roman" w:hAnsi="Times New Roman"/>
          <w:sz w:val="28"/>
          <w:szCs w:val="28"/>
        </w:rPr>
        <w:t xml:space="preserve">года</w:t>
      </w:r>
      <w:r/>
      <w:r>
        <w:rPr>
          <w:sz w:val="28"/>
          <w:szCs w:val="28"/>
        </w:rPr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предоставляемого на безвозмездной основе </w:t>
      </w:r>
      <w:r>
        <w:rPr>
          <w:sz w:val="28"/>
          <w:szCs w:val="28"/>
        </w:rPr>
        <w:t xml:space="preserve">МАУ «Редакцией газеты «Воротынская газета», с участием представителей газеты, </w:t>
      </w:r>
      <w:r>
        <w:rPr>
          <w:sz w:val="28"/>
          <w:szCs w:val="28"/>
        </w:rPr>
        <w:t xml:space="preserve">результаты распределения оформить протоколом и незамедлительно довести до сведения кандидатов </w:t>
      </w:r>
      <w:r>
        <w:rPr>
          <w:sz w:val="28"/>
          <w:szCs w:val="28"/>
        </w:rPr>
        <w:t xml:space="preserve">(приложение</w:t>
      </w:r>
      <w:r>
        <w:rPr>
          <w:sz w:val="28"/>
          <w:szCs w:val="28"/>
        </w:rPr>
        <w:t xml:space="preserve">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1"/>
        <w:ind w:left="284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1"/>
        <w:numPr>
          <w:ilvl w:val="0"/>
          <w:numId w:val="18"/>
        </w:numPr>
        <w:ind w:left="0" w:firstLine="284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Р</w:t>
      </w:r>
      <w:r>
        <w:rPr>
          <w:color w:val="000000"/>
          <w:sz w:val="28"/>
          <w:szCs w:val="28"/>
        </w:rPr>
        <w:t xml:space="preserve">азместить настоящее постановление на портале органов местного   самоуправления в разделе «Т</w:t>
      </w:r>
      <w:r>
        <w:rPr>
          <w:sz w:val="28"/>
          <w:szCs w:val="28"/>
        </w:rPr>
        <w:t xml:space="preserve">ерриториальная избирательная комиссия муниципального округа Воротынский Нижегородской области»</w:t>
      </w:r>
      <w:r>
        <w:rPr>
          <w:color w:val="000000"/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7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                                                                         Г.Н. Исатченко</w:t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ind w:firstLine="709"/>
        <w:jc w:val="both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ind w:firstLine="709"/>
        <w:jc w:val="both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Секретарь                                                                                Т.А. Герасимова </w:t>
      </w:r>
      <w:r>
        <w:rPr>
          <w:rFonts w:ascii="Times New Roman" w:hAnsi="Times New Roman"/>
          <w:sz w:val="28"/>
          <w:szCs w:val="28"/>
          <w:highlight w:val="none"/>
        </w:rPr>
      </w:r>
      <w:r/>
    </w:p>
    <w:p>
      <w:pPr>
        <w:pStyle w:val="675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675"/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675"/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675"/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675"/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675"/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675"/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675"/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675"/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675"/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675"/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675"/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675"/>
        <w:spacing w:line="240" w:lineRule="auto"/>
        <w:rPr>
          <w:rFonts w:ascii="Times New Roman" w:hAnsi="Times New Roman"/>
          <w:b/>
          <w:sz w:val="28"/>
          <w:szCs w:val="28"/>
        </w:rPr>
        <w:sectPr>
          <w:footnotePr/>
          <w:endnotePr/>
          <w:type w:val="nextPage"/>
          <w:pgSz w:w="11906" w:h="16838" w:orient="portrait"/>
          <w:pgMar w:top="1134" w:right="566" w:bottom="709" w:left="993" w:header="708" w:footer="708" w:gutter="0"/>
          <w:cols w:num="1" w:sep="0" w:space="708" w:equalWidth="1"/>
          <w:docGrid w:linePitch="360"/>
        </w:sect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687"/>
        <w:jc w:val="center"/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приложение </w:t>
      </w:r>
      <w:r>
        <w:rPr>
          <w:sz w:val="20"/>
          <w:szCs w:val="20"/>
        </w:rPr>
      </w:r>
    </w:p>
    <w:p>
      <w:pPr>
        <w:pStyle w:val="687"/>
        <w:jc w:val="right"/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к постановлению территориальной</w:t>
      </w:r>
      <w:r>
        <w:rPr>
          <w:sz w:val="20"/>
          <w:szCs w:val="20"/>
        </w:rPr>
      </w:r>
    </w:p>
    <w:p>
      <w:pPr>
        <w:pStyle w:val="687"/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избирательной комиссии</w:t>
      </w:r>
      <w:r>
        <w:rPr>
          <w:sz w:val="20"/>
          <w:szCs w:val="20"/>
        </w:rPr>
      </w:r>
    </w:p>
    <w:p>
      <w:pPr>
        <w:pStyle w:val="687"/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от 05 августа 2026 года №17/77-6</w:t>
      </w:r>
      <w:r>
        <w:rPr>
          <w:sz w:val="20"/>
          <w:szCs w:val="20"/>
        </w:rPr>
      </w:r>
    </w:p>
    <w:p>
      <w:pPr>
        <w:pStyle w:val="687"/>
        <w:jc w:val="center"/>
        <w:spacing w:after="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87"/>
        <w:jc w:val="center"/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ПРОТОКОЛ</w:t>
      </w:r>
      <w:r>
        <w:rPr>
          <w:sz w:val="20"/>
          <w:szCs w:val="20"/>
        </w:rPr>
      </w:r>
    </w:p>
    <w:p>
      <w:pPr>
        <w:pStyle w:val="687"/>
        <w:jc w:val="center"/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распределения </w:t>
      </w:r>
      <w:r>
        <w:rPr>
          <w:sz w:val="20"/>
          <w:szCs w:val="20"/>
          <w:u w:val="single"/>
        </w:rPr>
        <w:t xml:space="preserve">бесплатной печатной площади</w:t>
      </w:r>
      <w:r>
        <w:rPr>
          <w:sz w:val="20"/>
          <w:szCs w:val="20"/>
        </w:rPr>
        <w:t xml:space="preserve">, которую редакция муниципального периодического печатного издания_________________________________________________________________________________________________</w:t>
      </w:r>
      <w:r>
        <w:rPr>
          <w:sz w:val="20"/>
          <w:szCs w:val="20"/>
        </w:rPr>
      </w:r>
    </w:p>
    <w:p>
      <w:pPr>
        <w:pStyle w:val="687"/>
        <w:jc w:val="center"/>
        <w:rPr>
          <w:b/>
          <w:sz w:val="20"/>
          <w:szCs w:val="20"/>
          <w:vertAlign w:val="superscript"/>
        </w:rPr>
      </w:pPr>
      <w:r>
        <w:rPr>
          <w:b/>
          <w:sz w:val="20"/>
          <w:szCs w:val="20"/>
          <w:vertAlign w:val="superscript"/>
        </w:rPr>
        <w:t xml:space="preserve">(наименование муниципального периодического печатного издания)</w:t>
      </w:r>
      <w:r>
        <w:rPr>
          <w:b/>
          <w:sz w:val="20"/>
          <w:szCs w:val="20"/>
          <w:vertAlign w:val="superscript"/>
        </w:rPr>
      </w:r>
    </w:p>
    <w:p>
      <w:pPr>
        <w:pStyle w:val="687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предоставляет для проведения предвыборной агитации по выборам_________________________________________</w:t>
      </w:r>
      <w:r>
        <w:rPr>
          <w:sz w:val="20"/>
          <w:szCs w:val="20"/>
        </w:rPr>
      </w:r>
    </w:p>
    <w:p>
      <w:pPr>
        <w:pStyle w:val="710"/>
        <w:ind w:firstLine="709"/>
        <w:rPr>
          <w:sz w:val="20"/>
        </w:rPr>
      </w:pPr>
      <w:r>
        <w:rPr>
          <w:sz w:val="20"/>
        </w:rPr>
      </w:r>
      <w:r>
        <w:rPr>
          <w:sz w:val="20"/>
        </w:rPr>
      </w:r>
    </w:p>
    <w:tbl>
      <w:tblPr>
        <w:tblW w:w="14317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88"/>
        <w:gridCol w:w="2914"/>
        <w:gridCol w:w="2769"/>
        <w:gridCol w:w="2602"/>
        <w:gridCol w:w="2658"/>
        <w:gridCol w:w="288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609"/>
        </w:trPr>
        <w:tc>
          <w:tcPr>
            <w:tcW w:w="488" w:type="dxa"/>
            <w:vAlign w:val="top"/>
            <w:textDirection w:val="lrTb"/>
            <w:noWrap w:val="false"/>
          </w:tcPr>
          <w:p>
            <w:pPr>
              <w:pStyle w:val="67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№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67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п/п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914" w:type="dxa"/>
            <w:vAlign w:val="center"/>
            <w:textDirection w:val="lrTb"/>
            <w:noWrap w:val="false"/>
          </w:tcPr>
          <w:p>
            <w:pPr>
              <w:pStyle w:val="67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Фамилия, имя, отчество зарегистрированного кандидата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769" w:type="dxa"/>
            <w:vAlign w:val="center"/>
            <w:textDirection w:val="lrTb"/>
            <w:noWrap w:val="false"/>
          </w:tcPr>
          <w:p>
            <w:pPr>
              <w:pStyle w:val="67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Даты публикации предвыборных агитационных </w:t>
              <w:br w:type="textWrapping" w:clear="all"/>
              <w:t xml:space="preserve">материалов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602" w:type="dxa"/>
            <w:vAlign w:val="center"/>
            <w:textDirection w:val="lrTb"/>
            <w:noWrap w:val="false"/>
          </w:tcPr>
          <w:p>
            <w:pPr>
              <w:pStyle w:val="67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Номер полосы</w:t>
            </w:r>
            <w:r>
              <w:rPr>
                <w:rStyle w:val="700"/>
                <w:rFonts w:ascii="Times New Roman" w:hAnsi="Times New Roman"/>
                <w:sz w:val="20"/>
                <w:szCs w:val="20"/>
              </w:rPr>
              <w:footnoteReference w:id="2"/>
              <w:t xml:space="preserve">*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658" w:type="dxa"/>
            <w:vAlign w:val="top"/>
            <w:textDirection w:val="lrTb"/>
            <w:noWrap w:val="false"/>
          </w:tcPr>
          <w:p>
            <w:pPr>
              <w:pStyle w:val="67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Ф.И.О. зарегистрированного кандидата или доверенного лица кандидата, участвовавшего в распределении в интересах кандидата/члена соответствующей избирательной комиссии с правом решающего голоса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886" w:type="dxa"/>
            <w:vAlign w:val="top"/>
            <w:textDirection w:val="lrTb"/>
            <w:noWrap w:val="false"/>
          </w:tcPr>
          <w:p>
            <w:pPr>
              <w:pStyle w:val="67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Подпись зарегистрированного кандидата или доверенного лица кандидата, участвовавшего в распределении в интересах кандидата/члена соответствующей избирательной комиссии с правом решающего голоса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8" w:type="dxa"/>
            <w:vAlign w:val="top"/>
            <w:textDirection w:val="lrTb"/>
            <w:noWrap w:val="false"/>
          </w:tcPr>
          <w:p>
            <w:pPr>
              <w:pStyle w:val="67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914" w:type="dxa"/>
            <w:vAlign w:val="top"/>
            <w:textDirection w:val="lrTb"/>
            <w:noWrap w:val="false"/>
          </w:tcPr>
          <w:p>
            <w:pPr>
              <w:pStyle w:val="67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769" w:type="dxa"/>
            <w:vAlign w:val="top"/>
            <w:textDirection w:val="lrTb"/>
            <w:noWrap w:val="false"/>
          </w:tcPr>
          <w:p>
            <w:pPr>
              <w:pStyle w:val="67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602" w:type="dxa"/>
            <w:vAlign w:val="top"/>
            <w:textDirection w:val="lrTb"/>
            <w:noWrap w:val="false"/>
          </w:tcPr>
          <w:p>
            <w:pPr>
              <w:pStyle w:val="67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658" w:type="dxa"/>
            <w:vAlign w:val="top"/>
            <w:textDirection w:val="lrTb"/>
            <w:noWrap w:val="false"/>
          </w:tcPr>
          <w:p>
            <w:pPr>
              <w:pStyle w:val="67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886" w:type="dxa"/>
            <w:vAlign w:val="top"/>
            <w:textDirection w:val="lrTb"/>
            <w:noWrap w:val="false"/>
          </w:tcPr>
          <w:p>
            <w:pPr>
              <w:pStyle w:val="67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488" w:type="dxa"/>
            <w:vAlign w:val="top"/>
            <w:textDirection w:val="lrTb"/>
            <w:noWrap w:val="false"/>
          </w:tcPr>
          <w:p>
            <w:pPr>
              <w:pStyle w:val="67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914" w:type="dxa"/>
            <w:vAlign w:val="top"/>
            <w:textDirection w:val="lrTb"/>
            <w:noWrap w:val="false"/>
          </w:tcPr>
          <w:p>
            <w:pPr>
              <w:pStyle w:val="67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769" w:type="dxa"/>
            <w:vAlign w:val="top"/>
            <w:textDirection w:val="lrTb"/>
            <w:noWrap w:val="false"/>
          </w:tcPr>
          <w:p>
            <w:pPr>
              <w:pStyle w:val="67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602" w:type="dxa"/>
            <w:vAlign w:val="top"/>
            <w:textDirection w:val="lrTb"/>
            <w:noWrap w:val="false"/>
          </w:tcPr>
          <w:p>
            <w:pPr>
              <w:pStyle w:val="67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658" w:type="dxa"/>
            <w:vAlign w:val="top"/>
            <w:textDirection w:val="lrTb"/>
            <w:noWrap w:val="false"/>
          </w:tcPr>
          <w:p>
            <w:pPr>
              <w:pStyle w:val="67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886" w:type="dxa"/>
            <w:vAlign w:val="top"/>
            <w:textDirection w:val="lrTb"/>
            <w:noWrap w:val="false"/>
          </w:tcPr>
          <w:p>
            <w:pPr>
              <w:pStyle w:val="67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710"/>
        <w:ind w:firstLine="709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75"/>
        <w:jc w:val="both"/>
        <w:widowControl w:val="off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Представители редакции муниципального периодического печатного издания</w:t>
      </w:r>
      <w:r>
        <w:rPr>
          <w:rStyle w:val="700"/>
          <w:rFonts w:ascii="Times New Roman" w:hAnsi="Times New Roman"/>
          <w:sz w:val="20"/>
          <w:szCs w:val="20"/>
        </w:rPr>
        <w:footnoteReference w:id="3"/>
        <w:t xml:space="preserve">**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tbl>
      <w:tblPr>
        <w:tblW w:w="14278" w:type="dxa"/>
        <w:tblInd w:w="0" w:type="dxa"/>
        <w:tblLayout w:type="fixed"/>
        <w:tblCellMar>
          <w:left w:w="28" w:type="dxa"/>
          <w:top w:w="0" w:type="dxa"/>
          <w:right w:w="28" w:type="dxa"/>
          <w:bottom w:w="0" w:type="dxa"/>
        </w:tblCellMar>
        <w:tblLook w:val="04A0" w:firstRow="1" w:lastRow="0" w:firstColumn="1" w:lastColumn="0" w:noHBand="0" w:noVBand="1"/>
      </w:tblPr>
      <w:tblGrid>
        <w:gridCol w:w="1985"/>
        <w:gridCol w:w="284"/>
        <w:gridCol w:w="2552"/>
        <w:gridCol w:w="284"/>
        <w:gridCol w:w="1558"/>
        <w:gridCol w:w="595"/>
        <w:gridCol w:w="2520"/>
        <w:gridCol w:w="360"/>
        <w:gridCol w:w="2520"/>
        <w:gridCol w:w="332"/>
        <w:gridCol w:w="1288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pStyle w:val="675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vAlign w:val="bottom"/>
            <w:textDirection w:val="lrTb"/>
            <w:noWrap w:val="false"/>
          </w:tcPr>
          <w:p>
            <w:pPr>
              <w:pStyle w:val="675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552" w:type="dxa"/>
            <w:vAlign w:val="bottom"/>
            <w:textDirection w:val="lrTb"/>
            <w:noWrap w:val="false"/>
          </w:tcPr>
          <w:p>
            <w:pPr>
              <w:pStyle w:val="675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vAlign w:val="bottom"/>
            <w:textDirection w:val="lrTb"/>
            <w:noWrap w:val="false"/>
          </w:tcPr>
          <w:p>
            <w:pPr>
              <w:pStyle w:val="675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558" w:type="dxa"/>
            <w:vAlign w:val="bottom"/>
            <w:textDirection w:val="lrTb"/>
            <w:noWrap w:val="false"/>
          </w:tcPr>
          <w:p>
            <w:pPr>
              <w:pStyle w:val="675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95" w:type="dxa"/>
            <w:vAlign w:val="bottom"/>
            <w:textDirection w:val="lrTb"/>
            <w:noWrap w:val="false"/>
          </w:tcPr>
          <w:p>
            <w:pPr>
              <w:pStyle w:val="675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520" w:type="dxa"/>
            <w:vAlign w:val="bottom"/>
            <w:textDirection w:val="lrTb"/>
            <w:noWrap w:val="false"/>
          </w:tcPr>
          <w:p>
            <w:pPr>
              <w:pStyle w:val="675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0" w:type="dxa"/>
            <w:vAlign w:val="bottom"/>
            <w:textDirection w:val="lrTb"/>
            <w:noWrap w:val="false"/>
          </w:tcPr>
          <w:p>
            <w:pPr>
              <w:pStyle w:val="675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520" w:type="dxa"/>
            <w:vAlign w:val="bottom"/>
            <w:textDirection w:val="lrTb"/>
            <w:noWrap w:val="false"/>
          </w:tcPr>
          <w:p>
            <w:pPr>
              <w:pStyle w:val="675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32" w:type="dxa"/>
            <w:vAlign w:val="bottom"/>
            <w:textDirection w:val="lrTb"/>
            <w:noWrap w:val="false"/>
          </w:tcPr>
          <w:p>
            <w:pPr>
              <w:pStyle w:val="675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288" w:type="dxa"/>
            <w:vAlign w:val="bottom"/>
            <w:textDirection w:val="lrTb"/>
            <w:noWrap w:val="false"/>
          </w:tcPr>
          <w:p>
            <w:pPr>
              <w:pStyle w:val="675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85" w:type="dxa"/>
            <w:vAlign w:val="top"/>
            <w:textDirection w:val="lrTb"/>
            <w:noWrap w:val="false"/>
          </w:tcPr>
          <w:p>
            <w:pPr>
              <w:pStyle w:val="675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(подпись)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vAlign w:val="top"/>
            <w:textDirection w:val="lrTb"/>
            <w:noWrap w:val="false"/>
          </w:tcPr>
          <w:p>
            <w:pPr>
              <w:pStyle w:val="675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675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(инициалы, фамилия)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vAlign w:val="top"/>
            <w:textDirection w:val="lrTb"/>
            <w:noWrap w:val="false"/>
          </w:tcPr>
          <w:p>
            <w:pPr>
              <w:pStyle w:val="675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8" w:type="dxa"/>
            <w:vAlign w:val="top"/>
            <w:textDirection w:val="lrTb"/>
            <w:noWrap w:val="false"/>
          </w:tcPr>
          <w:p>
            <w:pPr>
              <w:pStyle w:val="675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(дата)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95" w:type="dxa"/>
            <w:vAlign w:val="top"/>
            <w:textDirection w:val="lrTb"/>
            <w:noWrap w:val="false"/>
          </w:tcPr>
          <w:p>
            <w:pPr>
              <w:pStyle w:val="675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520" w:type="dxa"/>
            <w:vAlign w:val="top"/>
            <w:textDirection w:val="lrTb"/>
            <w:noWrap w:val="false"/>
          </w:tcPr>
          <w:p>
            <w:pPr>
              <w:pStyle w:val="675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(подпись)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0" w:type="dxa"/>
            <w:vAlign w:val="top"/>
            <w:textDirection w:val="lrTb"/>
            <w:noWrap w:val="false"/>
          </w:tcPr>
          <w:p>
            <w:pPr>
              <w:pStyle w:val="675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520" w:type="dxa"/>
            <w:vAlign w:val="top"/>
            <w:textDirection w:val="lrTb"/>
            <w:noWrap w:val="false"/>
          </w:tcPr>
          <w:p>
            <w:pPr>
              <w:pStyle w:val="675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(инициалы, фамилия)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32" w:type="dxa"/>
            <w:vAlign w:val="top"/>
            <w:textDirection w:val="lrTb"/>
            <w:noWrap w:val="false"/>
          </w:tcPr>
          <w:p>
            <w:pPr>
              <w:pStyle w:val="675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88" w:type="dxa"/>
            <w:vAlign w:val="top"/>
            <w:textDirection w:val="lrTb"/>
            <w:noWrap w:val="false"/>
          </w:tcPr>
          <w:p>
            <w:pPr>
              <w:pStyle w:val="675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(дата)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</w:r>
          </w:p>
        </w:tc>
      </w:tr>
    </w:tbl>
    <w:p>
      <w:pPr>
        <w:pStyle w:val="708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Член избирательной комиссии с правом решающего голоса </w:t>
      </w:r>
      <w:r>
        <w:rPr>
          <w:rFonts w:ascii="Times New Roman" w:hAnsi="Times New Roman" w:cs="Times New Roman"/>
          <w:i/>
          <w:iCs/>
          <w:szCs w:val="20"/>
        </w:rPr>
        <w:t xml:space="preserve">(наименование комиссии)</w:t>
      </w:r>
      <w:r>
        <w:rPr>
          <w:rFonts w:ascii="Times New Roman" w:hAnsi="Times New Roman" w:cs="Times New Roman"/>
          <w:szCs w:val="20"/>
        </w:rPr>
      </w:r>
      <w:r>
        <w:rPr>
          <w:rFonts w:ascii="Times New Roman" w:hAnsi="Times New Roman" w:cs="Times New Roman"/>
          <w:szCs w:val="20"/>
        </w:rPr>
      </w:r>
    </w:p>
    <w:tbl>
      <w:tblPr>
        <w:tblW w:w="0" w:type="auto"/>
        <w:tblInd w:w="0" w:type="dxa"/>
        <w:tblLayout w:type="fixed"/>
        <w:tblCellMar>
          <w:left w:w="28" w:type="dxa"/>
          <w:top w:w="0" w:type="dxa"/>
          <w:right w:w="28" w:type="dxa"/>
          <w:bottom w:w="0" w:type="dxa"/>
        </w:tblCellMar>
        <w:tblLook w:val="04A0" w:firstRow="1" w:lastRow="0" w:firstColumn="1" w:lastColumn="0" w:noHBand="0" w:noVBand="1"/>
      </w:tblPr>
      <w:tblGrid>
        <w:gridCol w:w="1985"/>
        <w:gridCol w:w="284"/>
        <w:gridCol w:w="2552"/>
        <w:gridCol w:w="284"/>
        <w:gridCol w:w="1558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pStyle w:val="675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vAlign w:val="bottom"/>
            <w:textDirection w:val="lrTb"/>
            <w:noWrap w:val="false"/>
          </w:tcPr>
          <w:p>
            <w:pPr>
              <w:pStyle w:val="675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552" w:type="dxa"/>
            <w:vAlign w:val="bottom"/>
            <w:textDirection w:val="lrTb"/>
            <w:noWrap w:val="false"/>
          </w:tcPr>
          <w:p>
            <w:pPr>
              <w:pStyle w:val="675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vAlign w:val="bottom"/>
            <w:textDirection w:val="lrTb"/>
            <w:noWrap w:val="false"/>
          </w:tcPr>
          <w:p>
            <w:pPr>
              <w:pStyle w:val="675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558" w:type="dxa"/>
            <w:vAlign w:val="bottom"/>
            <w:textDirection w:val="lrTb"/>
            <w:noWrap w:val="false"/>
          </w:tcPr>
          <w:p>
            <w:pPr>
              <w:pStyle w:val="675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blPrEx/>
        <w:trPr>
          <w:trHeight w:val="144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85" w:type="dxa"/>
            <w:vAlign w:val="top"/>
            <w:textDirection w:val="lrTb"/>
            <w:noWrap w:val="false"/>
          </w:tcPr>
          <w:p>
            <w:pPr>
              <w:pStyle w:val="675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(подпись)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vAlign w:val="top"/>
            <w:textDirection w:val="lrTb"/>
            <w:noWrap w:val="false"/>
          </w:tcPr>
          <w:p>
            <w:pPr>
              <w:pStyle w:val="675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675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(инициалы, фамилия)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vAlign w:val="top"/>
            <w:textDirection w:val="lrTb"/>
            <w:noWrap w:val="false"/>
          </w:tcPr>
          <w:p>
            <w:pPr>
              <w:pStyle w:val="675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8" w:type="dxa"/>
            <w:vAlign w:val="top"/>
            <w:textDirection w:val="lrTb"/>
            <w:noWrap w:val="false"/>
          </w:tcPr>
          <w:p>
            <w:pPr>
              <w:pStyle w:val="675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(дата)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</w:r>
          </w:p>
        </w:tc>
      </w:tr>
    </w:tbl>
    <w:p>
      <w:r/>
    </w:p>
    <w:sectPr>
      <w:footnotePr/>
      <w:endnotePr/>
      <w:type w:val="nextPage"/>
      <w:pgSz w:w="16838" w:h="11906" w:orient="landscape"/>
      <w:pgMar w:top="568" w:right="1134" w:bottom="426" w:left="709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ourier New">
    <w:panose1 w:val="02070409020205020404"/>
  </w:font>
  <w:font w:name="Liberation Sans">
    <w:panose1 w:val="020B0604020202020204"/>
  </w:font>
  <w:font w:name="Times New Roman">
    <w:panose1 w:val="02020603050405020304"/>
  </w:font>
  <w:font w:name="Batang">
    <w:panose1 w:val="02000506000000020000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  <w:footnote w:id="2">
    <w:p>
      <w:pPr>
        <w:pStyle w:val="695"/>
        <w:rPr>
          <w:sz w:val="18"/>
          <w:szCs w:val="18"/>
        </w:rPr>
      </w:pPr>
      <w:r>
        <w:rPr>
          <w:rStyle w:val="700"/>
          <w:sz w:val="18"/>
          <w:szCs w:val="18"/>
        </w:rPr>
        <w:t xml:space="preserve">*</w:t>
      </w:r>
      <w:r>
        <w:rPr>
          <w:sz w:val="18"/>
          <w:szCs w:val="18"/>
          <w:lang w:val="en-US"/>
        </w:rPr>
        <w:footnoteRef/>
        <w:t xml:space="preserve"> </w:t>
      </w:r>
      <w:r>
        <w:rPr>
          <w:sz w:val="18"/>
          <w:szCs w:val="18"/>
        </w:rPr>
        <w:t xml:space="preserve">Если на одной полосе будут расположены несколько предвыборных агитационных материалов, в наименование графы также включаются слова «место на полосе».</w:t>
      </w:r>
      <w:r>
        <w:rPr>
          <w:sz w:val="18"/>
          <w:szCs w:val="18"/>
        </w:rPr>
      </w:r>
    </w:p>
  </w:footnote>
  <w:footnote w:id="3">
    <w:p>
      <w:pPr>
        <w:pStyle w:val="695"/>
        <w:rPr>
          <w:sz w:val="18"/>
          <w:szCs w:val="18"/>
        </w:rPr>
      </w:pPr>
      <w:r>
        <w:rPr>
          <w:rStyle w:val="700"/>
          <w:sz w:val="18"/>
          <w:szCs w:val="18"/>
        </w:rPr>
        <w:footnoteRef/>
        <w:t xml:space="preserve">**</w:t>
      </w:r>
      <w:r>
        <w:rPr>
          <w:sz w:val="18"/>
          <w:szCs w:val="18"/>
          <w:lang w:val="en-US"/>
        </w:rPr>
        <w:t xml:space="preserve"> </w:t>
      </w:r>
      <w:r>
        <w:rPr>
          <w:sz w:val="18"/>
          <w:szCs w:val="18"/>
        </w:rPr>
        <w:t xml:space="preserve">Протокол подписывается не менее чем двумя представителями редакции муниципального периодического печатного издания.</w:t>
      </w:r>
      <w:r>
        <w:rPr>
          <w:sz w:val="18"/>
          <w:szCs w:val="18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022" w:hanging="1305"/>
      </w:pPr>
    </w:lvl>
    <w:lvl w:ilvl="1">
      <w:start w:val="1"/>
      <w:numFmt w:val="lowerLetter"/>
      <w:isLgl w:val="false"/>
      <w:suff w:val="tab"/>
      <w:lvlText w:val="%2."/>
      <w:lvlJc w:val="left"/>
      <w:pPr>
        <w:ind w:left="179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1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3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5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7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9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1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37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5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450" w:hanging="450"/>
      </w:pPr>
    </w:lvl>
    <w:lvl w:ilvl="1">
      <w:start w:val="3"/>
      <w:numFmt w:val="decimal"/>
      <w:isLgl w:val="false"/>
      <w:suff w:val="tab"/>
      <w:lvlText w:val="%1.%2."/>
      <w:lvlJc w:val="left"/>
      <w:pPr>
        <w:ind w:left="2508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4296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6444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8232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38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2528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316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6464" w:hanging="216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44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7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04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015" w:hanging="1305"/>
      </w:pPr>
    </w:lvl>
    <w:lvl w:ilvl="1">
      <w:start w:val="1"/>
      <w:numFmt w:val="lowerLetter"/>
      <w:isLgl w:val="false"/>
      <w:suff w:val="tab"/>
      <w:lvlText w:val="%2."/>
      <w:lvlJc w:val="left"/>
      <w:pPr>
        <w:ind w:left="179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1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3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5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7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9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1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3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788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14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868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228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948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668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028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748" w:hanging="216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</w:pPr>
      <w:rPr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3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04" w:hanging="180"/>
      </w:pPr>
    </w:lvl>
  </w:abstractNum>
  <w:abstractNum w:abstractNumId="15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09" w:hanging="525"/>
      </w:pPr>
    </w:lvl>
    <w:lvl w:ilvl="1">
      <w:start w:val="1"/>
      <w:numFmt w:val="lowerLetter"/>
      <w:isLgl w:val="false"/>
      <w:suff w:val="tab"/>
      <w:lvlText w:val="%2."/>
      <w:lvlJc w:val="left"/>
      <w:pPr>
        <w:ind w:left="13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04" w:hanging="180"/>
      </w:pPr>
    </w:lvl>
  </w:abstractNum>
  <w:abstractNum w:abstractNumId="17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6"/>
  </w:num>
  <w:num w:numId="5">
    <w:abstractNumId w:val="9"/>
  </w:num>
  <w:num w:numId="6">
    <w:abstractNumId w:val="12"/>
  </w:num>
  <w:num w:numId="7">
    <w:abstractNumId w:val="5"/>
  </w:num>
  <w:num w:numId="8">
    <w:abstractNumId w:val="13"/>
  </w:num>
  <w:num w:numId="9">
    <w:abstractNumId w:val="17"/>
  </w:num>
  <w:num w:numId="10">
    <w:abstractNumId w:val="7"/>
  </w:num>
  <w:num w:numId="11">
    <w:abstractNumId w:val="8"/>
  </w:num>
  <w:num w:numId="12">
    <w:abstractNumId w:val="11"/>
  </w:num>
  <w:num w:numId="13">
    <w:abstractNumId w:val="1"/>
  </w:num>
  <w:num w:numId="14">
    <w:abstractNumId w:val="4"/>
  </w:num>
  <w:num w:numId="15">
    <w:abstractNumId w:val="3"/>
  </w:num>
  <w:num w:numId="16">
    <w:abstractNumId w:val="15"/>
  </w:num>
  <w:num w:numId="17">
    <w:abstractNumId w:val="2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75"/>
    <w:next w:val="675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75"/>
    <w:next w:val="675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75"/>
    <w:next w:val="675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75"/>
    <w:next w:val="675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75"/>
    <w:next w:val="675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75"/>
    <w:next w:val="675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75"/>
    <w:next w:val="675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75"/>
    <w:next w:val="675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75"/>
    <w:next w:val="675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75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75"/>
    <w:next w:val="675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75"/>
    <w:next w:val="675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75"/>
    <w:next w:val="675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75"/>
    <w:next w:val="675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75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75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75"/>
    <w:next w:val="675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75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75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75"/>
    <w:next w:val="675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75"/>
    <w:next w:val="675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75"/>
    <w:next w:val="675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75"/>
    <w:next w:val="675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75"/>
    <w:next w:val="675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75"/>
    <w:next w:val="675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75"/>
    <w:next w:val="675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75"/>
    <w:next w:val="675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75"/>
    <w:next w:val="675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75"/>
    <w:next w:val="675"/>
    <w:uiPriority w:val="99"/>
    <w:unhideWhenUsed/>
    <w:pPr>
      <w:spacing w:after="0" w:afterAutospacing="0"/>
    </w:pPr>
  </w:style>
  <w:style w:type="paragraph" w:styleId="675" w:default="1">
    <w:name w:val="Normal"/>
    <w:next w:val="675"/>
    <w:link w:val="675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paragraph" w:styleId="676">
    <w:name w:val="Заголовок 2"/>
    <w:basedOn w:val="675"/>
    <w:next w:val="675"/>
    <w:link w:val="689"/>
    <w:uiPriority w:val="99"/>
    <w:qFormat/>
    <w:pPr>
      <w:jc w:val="center"/>
      <w:keepNext/>
      <w:spacing w:after="0" w:line="240" w:lineRule="auto"/>
      <w:outlineLvl w:val="1"/>
    </w:pPr>
    <w:rPr>
      <w:rFonts w:ascii="Times New Roman" w:hAnsi="Times New Roman" w:eastAsia="Times New Roman"/>
      <w:b/>
      <w:bCs/>
      <w:sz w:val="24"/>
      <w:szCs w:val="24"/>
      <w:lang w:eastAsia="ru-RU"/>
    </w:rPr>
  </w:style>
  <w:style w:type="paragraph" w:styleId="677">
    <w:name w:val="Заголовок 4"/>
    <w:basedOn w:val="675"/>
    <w:next w:val="675"/>
    <w:link w:val="704"/>
    <w:uiPriority w:val="9"/>
    <w:semiHidden/>
    <w:unhideWhenUsed/>
    <w:qFormat/>
    <w:pPr>
      <w:keepNext/>
      <w:spacing w:before="240" w:after="60"/>
      <w:outlineLvl w:val="3"/>
    </w:pPr>
    <w:rPr>
      <w:rFonts w:ascii="Calibri" w:hAnsi="Calibri" w:eastAsia="Times New Roman" w:cs="Times New Roman"/>
      <w:b/>
      <w:bCs/>
      <w:sz w:val="28"/>
      <w:szCs w:val="28"/>
    </w:rPr>
  </w:style>
  <w:style w:type="character" w:styleId="678">
    <w:name w:val="Основной шрифт абзаца"/>
    <w:next w:val="678"/>
    <w:link w:val="675"/>
    <w:uiPriority w:val="1"/>
    <w:semiHidden/>
    <w:unhideWhenUsed/>
  </w:style>
  <w:style w:type="table" w:styleId="679">
    <w:name w:val="Обычная таблица"/>
    <w:next w:val="679"/>
    <w:link w:val="675"/>
    <w:uiPriority w:val="99"/>
    <w:semiHidden/>
    <w:unhideWhenUsed/>
    <w:qFormat/>
    <w:tblPr/>
  </w:style>
  <w:style w:type="numbering" w:styleId="680">
    <w:name w:val="Нет списка"/>
    <w:next w:val="680"/>
    <w:link w:val="675"/>
    <w:uiPriority w:val="99"/>
    <w:semiHidden/>
    <w:unhideWhenUsed/>
  </w:style>
  <w:style w:type="paragraph" w:styleId="681">
    <w:name w:val="ConsPlusNormal"/>
    <w:next w:val="681"/>
    <w:link w:val="675"/>
    <w:pPr>
      <w:widowControl w:val="off"/>
    </w:pPr>
    <w:rPr>
      <w:rFonts w:ascii="Times New Roman" w:hAnsi="Times New Roman" w:eastAsia="Times New Roman"/>
      <w:sz w:val="24"/>
      <w:szCs w:val="24"/>
      <w:lang w:val="ru-RU" w:eastAsia="ru-RU" w:bidi="ar-SA"/>
    </w:rPr>
  </w:style>
  <w:style w:type="paragraph" w:styleId="682">
    <w:name w:val="14-15"/>
    <w:basedOn w:val="675"/>
    <w:next w:val="682"/>
    <w:link w:val="675"/>
    <w:uiPriority w:val="99"/>
    <w:pPr>
      <w:ind w:firstLine="709"/>
      <w:jc w:val="both"/>
      <w:spacing w:after="0" w:line="360" w:lineRule="auto"/>
    </w:pPr>
    <w:rPr>
      <w:rFonts w:ascii="Times New Roman" w:hAnsi="Times New Roman" w:eastAsia="Times New Roman"/>
      <w:sz w:val="28"/>
      <w:szCs w:val="24"/>
      <w:lang w:eastAsia="ru-RU"/>
    </w:rPr>
  </w:style>
  <w:style w:type="paragraph" w:styleId="683">
    <w:name w:val="Основной текст 2"/>
    <w:basedOn w:val="675"/>
    <w:next w:val="683"/>
    <w:link w:val="684"/>
    <w:unhideWhenUsed/>
    <w:pPr>
      <w:spacing w:after="120" w:line="480" w:lineRule="auto"/>
    </w:pPr>
    <w:rPr>
      <w:rFonts w:ascii="Times New Roman" w:hAnsi="Times New Roman" w:eastAsia="Times New Roman"/>
      <w:sz w:val="20"/>
      <w:szCs w:val="20"/>
      <w:lang w:eastAsia="ru-RU"/>
    </w:rPr>
  </w:style>
  <w:style w:type="character" w:styleId="684">
    <w:name w:val="Основной текст 2 Знак"/>
    <w:basedOn w:val="678"/>
    <w:next w:val="684"/>
    <w:link w:val="683"/>
    <w:rPr>
      <w:rFonts w:ascii="Times New Roman" w:hAnsi="Times New Roman" w:eastAsia="Times New Roman"/>
    </w:rPr>
  </w:style>
  <w:style w:type="paragraph" w:styleId="685">
    <w:name w:val="Основной текст с отступом"/>
    <w:basedOn w:val="675"/>
    <w:next w:val="685"/>
    <w:link w:val="686"/>
    <w:unhideWhenUsed/>
    <w:pPr>
      <w:ind w:left="283"/>
      <w:spacing w:after="120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686">
    <w:name w:val="Основной текст с отступом Знак"/>
    <w:basedOn w:val="678"/>
    <w:next w:val="686"/>
    <w:link w:val="685"/>
    <w:rPr>
      <w:rFonts w:ascii="Times New Roman" w:hAnsi="Times New Roman" w:eastAsia="Times New Roman"/>
      <w:sz w:val="24"/>
      <w:szCs w:val="24"/>
    </w:rPr>
  </w:style>
  <w:style w:type="paragraph" w:styleId="687">
    <w:name w:val="Основной текст"/>
    <w:basedOn w:val="675"/>
    <w:next w:val="687"/>
    <w:link w:val="688"/>
    <w:unhideWhenUsed/>
    <w:pPr>
      <w:spacing w:after="120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688">
    <w:name w:val="Основной текст Знак"/>
    <w:basedOn w:val="678"/>
    <w:next w:val="688"/>
    <w:link w:val="687"/>
    <w:rPr>
      <w:rFonts w:ascii="Times New Roman" w:hAnsi="Times New Roman" w:eastAsia="Times New Roman"/>
      <w:sz w:val="24"/>
      <w:szCs w:val="24"/>
    </w:rPr>
  </w:style>
  <w:style w:type="character" w:styleId="689">
    <w:name w:val="Заголовок 2 Знак"/>
    <w:basedOn w:val="678"/>
    <w:next w:val="689"/>
    <w:link w:val="676"/>
    <w:uiPriority w:val="99"/>
    <w:rPr>
      <w:rFonts w:ascii="Times New Roman" w:hAnsi="Times New Roman" w:eastAsia="Times New Roman"/>
      <w:b/>
      <w:bCs/>
      <w:sz w:val="24"/>
      <w:szCs w:val="24"/>
    </w:rPr>
  </w:style>
  <w:style w:type="paragraph" w:styleId="690">
    <w:name w:val="Название"/>
    <w:basedOn w:val="675"/>
    <w:next w:val="690"/>
    <w:link w:val="691"/>
    <w:qFormat/>
    <w:pPr>
      <w:ind w:left="5670" w:right="41"/>
      <w:jc w:val="center"/>
      <w:spacing w:before="259" w:after="0" w:line="240" w:lineRule="auto"/>
      <w:shd w:val="clear" w:color="auto" w:fill="ffffff"/>
      <w:widowControl w:val="off"/>
    </w:pPr>
    <w:rPr>
      <w:rFonts w:ascii="Times New Roman" w:hAnsi="Times New Roman" w:eastAsia="Times New Roman"/>
      <w:color w:val="000000"/>
      <w:spacing w:val="-4"/>
      <w:sz w:val="24"/>
      <w:szCs w:val="24"/>
      <w:lang w:eastAsia="ru-RU"/>
    </w:rPr>
  </w:style>
  <w:style w:type="character" w:styleId="691">
    <w:name w:val="Название Знак"/>
    <w:basedOn w:val="678"/>
    <w:next w:val="691"/>
    <w:link w:val="690"/>
    <w:rPr>
      <w:rFonts w:ascii="Times New Roman" w:hAnsi="Times New Roman" w:eastAsia="Times New Roman"/>
      <w:color w:val="000000"/>
      <w:spacing w:val="-4"/>
      <w:sz w:val="24"/>
      <w:szCs w:val="24"/>
      <w:shd w:val="clear" w:color="auto" w:fill="ffffff"/>
    </w:rPr>
  </w:style>
  <w:style w:type="paragraph" w:styleId="692">
    <w:name w:val="Текст 14-1.5.Стиль12-1"/>
    <w:basedOn w:val="675"/>
    <w:next w:val="692"/>
    <w:link w:val="675"/>
    <w:pPr>
      <w:ind w:firstLine="709"/>
      <w:jc w:val="both"/>
      <w:spacing w:after="0" w:line="360" w:lineRule="auto"/>
      <w:widowControl w:val="off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693">
    <w:name w:val="Текст 14-1.5"/>
    <w:basedOn w:val="675"/>
    <w:next w:val="693"/>
    <w:link w:val="675"/>
    <w:pPr>
      <w:ind w:firstLine="709"/>
      <w:jc w:val="both"/>
      <w:spacing w:after="0" w:line="360" w:lineRule="auto"/>
      <w:widowControl w:val="off"/>
    </w:pPr>
    <w:rPr>
      <w:rFonts w:ascii="Times New Roman" w:hAnsi="Times New Roman" w:eastAsia="Times New Roman"/>
      <w:sz w:val="28"/>
      <w:szCs w:val="28"/>
      <w:lang w:eastAsia="ru-RU"/>
    </w:rPr>
  </w:style>
  <w:style w:type="paragraph" w:styleId="694">
    <w:name w:val="Содерж"/>
    <w:basedOn w:val="675"/>
    <w:next w:val="694"/>
    <w:link w:val="675"/>
    <w:pPr>
      <w:jc w:val="center"/>
      <w:spacing w:after="120" w:line="360" w:lineRule="atLeast"/>
      <w:widowControl w:val="off"/>
    </w:pPr>
    <w:rPr>
      <w:rFonts w:ascii="Times New Roman" w:hAnsi="Times New Roman" w:eastAsia="Times New Roman"/>
      <w:sz w:val="28"/>
      <w:szCs w:val="28"/>
      <w:lang w:eastAsia="ru-RU"/>
    </w:rPr>
  </w:style>
  <w:style w:type="paragraph" w:styleId="695">
    <w:name w:val="Текст сноски"/>
    <w:basedOn w:val="675"/>
    <w:next w:val="695"/>
    <w:link w:val="696"/>
    <w:uiPriority w:val="99"/>
    <w:semiHidden/>
    <w:unhideWhenUsed/>
    <w:pPr>
      <w:jc w:val="both"/>
      <w:keepLines/>
      <w:spacing w:after="120" w:line="240" w:lineRule="auto"/>
    </w:pPr>
    <w:rPr>
      <w:rFonts w:ascii="Times New Roman" w:hAnsi="Times New Roman" w:eastAsia="Batang"/>
      <w:szCs w:val="20"/>
      <w:lang w:eastAsia="ru-RU"/>
    </w:rPr>
  </w:style>
  <w:style w:type="character" w:styleId="696">
    <w:name w:val="Текст сноски Знак"/>
    <w:basedOn w:val="678"/>
    <w:next w:val="696"/>
    <w:link w:val="695"/>
    <w:uiPriority w:val="99"/>
    <w:semiHidden/>
    <w:rPr>
      <w:rFonts w:ascii="Times New Roman" w:hAnsi="Times New Roman" w:eastAsia="Batang"/>
      <w:sz w:val="22"/>
    </w:rPr>
  </w:style>
  <w:style w:type="paragraph" w:styleId="697">
    <w:name w:val="Обычный1"/>
    <w:next w:val="697"/>
    <w:link w:val="675"/>
    <w:rPr>
      <w:rFonts w:ascii="Times New Roman" w:hAnsi="Times New Roman" w:eastAsia="Times New Roman"/>
      <w:sz w:val="24"/>
      <w:lang w:val="ru-RU" w:eastAsia="ru-RU" w:bidi="ar-SA"/>
    </w:rPr>
  </w:style>
  <w:style w:type="paragraph" w:styleId="698">
    <w:name w:val="Основной текст 21"/>
    <w:basedOn w:val="697"/>
    <w:next w:val="698"/>
    <w:link w:val="675"/>
    <w:pPr>
      <w:ind w:firstLine="720"/>
      <w:jc w:val="center"/>
    </w:pPr>
  </w:style>
  <w:style w:type="paragraph" w:styleId="699">
    <w:name w:val="Текст1"/>
    <w:basedOn w:val="675"/>
    <w:next w:val="699"/>
    <w:link w:val="675"/>
    <w:pPr>
      <w:spacing w:after="0" w:line="240" w:lineRule="auto"/>
      <w:widowControl w:val="off"/>
    </w:pPr>
    <w:rPr>
      <w:rFonts w:ascii="Courier New" w:hAnsi="Courier New" w:eastAsia="Times New Roman"/>
      <w:sz w:val="20"/>
      <w:szCs w:val="20"/>
      <w:lang w:eastAsia="ru-RU"/>
    </w:rPr>
  </w:style>
  <w:style w:type="character" w:styleId="700">
    <w:name w:val="Знак сноски"/>
    <w:basedOn w:val="678"/>
    <w:next w:val="700"/>
    <w:link w:val="675"/>
    <w:semiHidden/>
    <w:unhideWhenUsed/>
    <w:rPr>
      <w:vertAlign w:val="superscript"/>
    </w:rPr>
  </w:style>
  <w:style w:type="paragraph" w:styleId="701">
    <w:name w:val="Абзац списка"/>
    <w:basedOn w:val="675"/>
    <w:next w:val="701"/>
    <w:link w:val="675"/>
    <w:uiPriority w:val="34"/>
    <w:qFormat/>
    <w:pPr>
      <w:ind w:left="708"/>
    </w:pPr>
  </w:style>
  <w:style w:type="character" w:styleId="702">
    <w:name w:val="Строгий"/>
    <w:basedOn w:val="678"/>
    <w:next w:val="702"/>
    <w:link w:val="675"/>
    <w:qFormat/>
    <w:rPr>
      <w:b/>
      <w:bCs/>
    </w:rPr>
  </w:style>
  <w:style w:type="paragraph" w:styleId="703">
    <w:name w:val="HeadDoc"/>
    <w:next w:val="703"/>
    <w:link w:val="675"/>
    <w:pPr>
      <w:jc w:val="both"/>
      <w:keepLines/>
      <w:widowControl w:val="off"/>
    </w:pPr>
    <w:rPr>
      <w:rFonts w:ascii="Times New Roman" w:hAnsi="Times New Roman" w:eastAsia="Times New Roman"/>
      <w:sz w:val="28"/>
      <w:lang w:val="ru-RU" w:eastAsia="ru-RU" w:bidi="ar-SA"/>
    </w:rPr>
  </w:style>
  <w:style w:type="character" w:styleId="704">
    <w:name w:val="Заголовок 4 Знак"/>
    <w:basedOn w:val="678"/>
    <w:next w:val="704"/>
    <w:link w:val="677"/>
    <w:uiPriority w:val="9"/>
    <w:semiHidden/>
    <w:rPr>
      <w:rFonts w:ascii="Calibri" w:hAnsi="Calibri" w:eastAsia="Times New Roman" w:cs="Times New Roman"/>
      <w:b/>
      <w:bCs/>
      <w:sz w:val="28"/>
      <w:szCs w:val="28"/>
      <w:lang w:eastAsia="en-US"/>
    </w:rPr>
  </w:style>
  <w:style w:type="paragraph" w:styleId="705">
    <w:name w:val="Normal1"/>
    <w:next w:val="705"/>
    <w:link w:val="675"/>
    <w:rPr>
      <w:rFonts w:ascii="Times New Roman" w:hAnsi="Times New Roman" w:eastAsia="Times New Roman"/>
      <w:sz w:val="26"/>
      <w:lang w:val="ru-RU" w:eastAsia="ru-RU" w:bidi="ar-SA"/>
    </w:rPr>
  </w:style>
  <w:style w:type="paragraph" w:styleId="706">
    <w:name w:val="Основной текст 3"/>
    <w:basedOn w:val="675"/>
    <w:next w:val="706"/>
    <w:link w:val="707"/>
    <w:pPr>
      <w:spacing w:after="120" w:line="240" w:lineRule="auto"/>
    </w:pPr>
    <w:rPr>
      <w:rFonts w:ascii="Times New Roman" w:hAnsi="Times New Roman" w:eastAsia="Times New Roman"/>
      <w:sz w:val="16"/>
      <w:szCs w:val="16"/>
      <w:lang w:val="en-US" w:eastAsia="en-US"/>
    </w:rPr>
  </w:style>
  <w:style w:type="character" w:styleId="707">
    <w:name w:val="Основной текст 3 Знак"/>
    <w:basedOn w:val="678"/>
    <w:next w:val="707"/>
    <w:link w:val="706"/>
    <w:rPr>
      <w:rFonts w:ascii="Times New Roman" w:hAnsi="Times New Roman" w:eastAsia="Times New Roman"/>
      <w:sz w:val="16"/>
      <w:szCs w:val="16"/>
      <w:lang w:val="en-US" w:eastAsia="en-US"/>
    </w:rPr>
  </w:style>
  <w:style w:type="paragraph" w:styleId="708">
    <w:name w:val="ConsPlusNonformat"/>
    <w:next w:val="708"/>
    <w:link w:val="675"/>
    <w:pPr>
      <w:widowControl w:val="off"/>
    </w:pPr>
    <w:rPr>
      <w:rFonts w:ascii="Courier New" w:hAnsi="Courier New" w:eastAsia="Times New Roman" w:cs="Courier New"/>
      <w:szCs w:val="22"/>
      <w:lang w:val="ru-RU" w:eastAsia="ru-RU" w:bidi="ar-SA"/>
    </w:rPr>
  </w:style>
  <w:style w:type="paragraph" w:styleId="709">
    <w:name w:val="ConsPlusTitle"/>
    <w:next w:val="709"/>
    <w:link w:val="675"/>
    <w:pPr>
      <w:widowControl w:val="off"/>
    </w:pPr>
    <w:rPr>
      <w:rFonts w:eastAsia="Times New Roman" w:cs="Calibri"/>
      <w:b/>
      <w:sz w:val="22"/>
      <w:lang w:val="ru-RU" w:eastAsia="ru-RU" w:bidi="ar-SA"/>
    </w:rPr>
  </w:style>
  <w:style w:type="paragraph" w:styleId="710">
    <w:name w:val="Верхний колонтитул"/>
    <w:basedOn w:val="675"/>
    <w:next w:val="710"/>
    <w:link w:val="711"/>
    <w:uiPriority w:val="99"/>
    <w:pPr>
      <w:spacing w:after="0" w:line="240" w:lineRule="auto"/>
      <w:tabs>
        <w:tab w:val="center" w:pos="4153" w:leader="none"/>
        <w:tab w:val="right" w:pos="8306" w:leader="none"/>
      </w:tabs>
    </w:pPr>
    <w:rPr>
      <w:rFonts w:ascii="Times New Roman" w:hAnsi="Times New Roman" w:eastAsia="Times New Roman"/>
      <w:sz w:val="24"/>
      <w:szCs w:val="20"/>
      <w:lang w:eastAsia="ru-RU"/>
    </w:rPr>
  </w:style>
  <w:style w:type="character" w:styleId="711">
    <w:name w:val="Верхний колонтитул Знак"/>
    <w:basedOn w:val="678"/>
    <w:next w:val="711"/>
    <w:link w:val="710"/>
    <w:uiPriority w:val="99"/>
    <w:rPr>
      <w:rFonts w:ascii="Times New Roman" w:hAnsi="Times New Roman" w:eastAsia="Times New Roman"/>
      <w:sz w:val="24"/>
    </w:rPr>
  </w:style>
  <w:style w:type="character" w:styleId="1618" w:default="1">
    <w:name w:val="Default Paragraph Font"/>
    <w:uiPriority w:val="1"/>
    <w:semiHidden/>
    <w:unhideWhenUsed/>
  </w:style>
  <w:style w:type="numbering" w:styleId="1619" w:default="1">
    <w:name w:val="No List"/>
    <w:uiPriority w:val="99"/>
    <w:semiHidden/>
    <w:unhideWhenUsed/>
  </w:style>
  <w:style w:type="table" w:styleId="1620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t.a.gerasimova</cp:lastModifiedBy>
  <cp:revision>6</cp:revision>
  <dcterms:created xsi:type="dcterms:W3CDTF">2024-08-01T07:38:00Z</dcterms:created>
  <dcterms:modified xsi:type="dcterms:W3CDTF">2026-08-04T13:59:08Z</dcterms:modified>
  <cp:version>786432</cp:version>
</cp:coreProperties>
</file>